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94806" w:rsidRPr="00594806" w:rsidRDefault="00594806" w:rsidP="00594806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567" w:hanging="567"/>
        <w:jc w:val="both"/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Ryzyko nieosiągania satysfakcjonujących zysków z zarządzania </w:t>
      </w:r>
      <w:r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o</w:t>
      </w: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biektem</w:t>
      </w:r>
      <w:r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 hotelowym</w:t>
      </w:r>
    </w:p>
    <w:p w:rsid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Wysokość zysku z tytułu zarządzania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biektem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hotelowym ARCHE S.A. 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nie jest stała i zależy od aktualnego poziomu zainteresowania klientów usługami świadczonymi w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biekcie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hotelowym ARCHE S.A.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, które przekłada się na wysokość osiąganych przychodów. Popyt na usługi oferowane w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biekcie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hotelowym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ARCHE S.A.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podlega przy tym sezonowym wahaniom, różnym w</w:t>
      </w:r>
      <w:r w:rsidR="005B6582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 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przypadku klientów indywidualnych i organizacji. Inwestorzy muszą się zatem liczyć z</w:t>
      </w:r>
      <w:r w:rsidR="005B6582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 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ryzykiem, że wyniki finansowe osiągane z zarządzania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biek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tem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hotelowym ARCHE S.A.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mogą okazać się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niższe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od oczekiwanych. </w:t>
      </w:r>
    </w:p>
    <w:p w:rsidR="00594806" w:rsidRP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:rsidR="00594806" w:rsidRPr="00594806" w:rsidRDefault="00594806" w:rsidP="00594806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567" w:hanging="567"/>
        <w:jc w:val="both"/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Ryzyko związane ze zbywaniem prawa do nabycia </w:t>
      </w:r>
      <w:r w:rsidR="005B6582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działu i </w:t>
      </w:r>
      <w:r w:rsidR="005B6582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działu</w:t>
      </w:r>
    </w:p>
    <w:p w:rsid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Zbycie prawa do nabycia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działu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albo 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dział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przez Inwestora wiązałoby się z indywidualnym poszukiwaniem przez niego nabywcy. Inwestorzy muszą mieć zatem świadomość, że zbycie prawa do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działu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albo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działu będzie procesem wymagającym odpowiednio długiego czasu oraz prowadzenia uzgodnień w odniesieniu do ceny sprzedaży. Nie ma zatem pewności, że Inwestor zbędzie prawo do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działu albo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dział w satysfakcjonującym czasie lub po satysfakcjonującej cenie. Podkreśla się, że w odniesieniu do możliwości zbycia prawa do nabycia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działu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i udziału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, prawo pierwokupu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przysługiwać będzie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ARCHE S.A.</w:t>
      </w:r>
    </w:p>
    <w:p w:rsidR="00594806" w:rsidRP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:rsidR="00277669" w:rsidRPr="00277669" w:rsidRDefault="00594806" w:rsidP="00594806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567" w:hanging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Ryzyko związane z odroczeniem w czasie zawarcia umowy </w:t>
      </w:r>
    </w:p>
    <w:p w:rsidR="00594806" w:rsidRPr="00277669" w:rsidRDefault="00594806" w:rsidP="00277669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Do czasu zawarcia umowy przyrzeczonej Inwestor nie nabywa ułamkowej części prawa własności </w:t>
      </w:r>
      <w:r w:rsidR="005B6582" w:rsidRPr="00277669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okalu. </w:t>
      </w:r>
    </w:p>
    <w:p w:rsidR="005B6582" w:rsidRPr="00594806" w:rsidRDefault="005B6582" w:rsidP="005B6582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:rsidR="00594806" w:rsidRPr="00594806" w:rsidRDefault="00594806" w:rsidP="00594806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567" w:hanging="567"/>
        <w:jc w:val="both"/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Ryzyko </w:t>
      </w:r>
      <w:r w:rsidR="00277669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dotyczące minimalnego rocznego wynagrodzenia z najmu</w:t>
      </w:r>
    </w:p>
    <w:p w:rsidR="00594806" w:rsidRDefault="00277669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Minimalne roczne wynagrodzenie z najmu dla</w:t>
      </w:r>
      <w:r w:rsidR="00594806"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Inwestora ma charakter </w:t>
      </w:r>
      <w:r w:rsid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wyłącznie </w:t>
      </w:r>
      <w:r w:rsidR="00594806"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umowny, wynikający z zawartej z ARCHE S.A. umowy najmu. </w:t>
      </w:r>
    </w:p>
    <w:p w:rsidR="00594806" w:rsidRP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:rsidR="00594806" w:rsidRPr="00594806" w:rsidRDefault="00594806" w:rsidP="00594806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567" w:hanging="567"/>
        <w:jc w:val="both"/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Ryzyko związane z ewentualną zmianą podmiotu sprawującego zarząd </w:t>
      </w:r>
      <w:r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okalem</w:t>
      </w:r>
    </w:p>
    <w:p w:rsid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Umowa przedwstępna nabycia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okalu przewiduje, że po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10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latach od jej zawarcia właściciele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okal</w:t>
      </w:r>
      <w:r w:rsidR="00277669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i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mogą powierzyć zarząd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okalem innemu podmiotowi. ARCHE S.A., sprawująca zarząd </w:t>
      </w:r>
      <w:r w:rsidR="00277669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obiektem hotelowym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, prowadzi działalność polegającą na zarządzaniu dużymi obiektami hotelowymi od kilkunastu lat, obecnie będąc właścicielem ponad 20 takich obiektów. Tymczasem w przypadku podjęcia przez właścicieli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okal</w:t>
      </w:r>
      <w:r w:rsidR="00277669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i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decyzji o zmianie zarządzającego, zarząd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okalem może zostać powierzony podmiotowi o mniejszym doświadczeniu lub skali działalności, niż ARCHE S.A. </w:t>
      </w:r>
    </w:p>
    <w:p w:rsidR="00594806" w:rsidRP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:rsidR="00594806" w:rsidRPr="00594806" w:rsidRDefault="00594806" w:rsidP="00594806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567" w:hanging="567"/>
        <w:jc w:val="both"/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Ryzyko ograniczeń w wykonywaniu praw z ułamkowej części własności </w:t>
      </w:r>
      <w:r w:rsidR="00277669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 xml:space="preserve">okalu w porównaniu do wykonywania praw z własności całego </w:t>
      </w:r>
      <w:r w:rsidR="00277669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/>
          <w14:ligatures w14:val="none"/>
        </w:rPr>
        <w:t>okalu </w:t>
      </w:r>
    </w:p>
    <w:p w:rsidR="00594806" w:rsidRPr="00594806" w:rsidRDefault="00594806" w:rsidP="00594806">
      <w:pPr>
        <w:spacing w:after="0" w:line="240" w:lineRule="auto"/>
        <w:ind w:left="567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Jako że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u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dział stanowi ułamkową część prawa własności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okalu, Inwestor ma ograniczony wpływ na podejmowanie decyzji związanych z całym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>l</w:t>
      </w:r>
      <w:r w:rsidRPr="00594806">
        <w:rPr>
          <w:rFonts w:ascii="Calibri" w:eastAsia="Times New Roman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okalem. </w:t>
      </w:r>
    </w:p>
    <w:p w:rsidR="00717E25" w:rsidRDefault="00717E25" w:rsidP="00594806">
      <w:pPr>
        <w:ind w:left="567" w:hanging="567"/>
        <w:jc w:val="both"/>
      </w:pPr>
    </w:p>
    <w:sectPr w:rsidR="00717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A4FF3"/>
    <w:multiLevelType w:val="multilevel"/>
    <w:tmpl w:val="E460C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0B5637"/>
    <w:multiLevelType w:val="multilevel"/>
    <w:tmpl w:val="8F6CA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215526"/>
    <w:multiLevelType w:val="multilevel"/>
    <w:tmpl w:val="9A308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A4A5917"/>
    <w:multiLevelType w:val="multilevel"/>
    <w:tmpl w:val="15FE2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2922D57"/>
    <w:multiLevelType w:val="multilevel"/>
    <w:tmpl w:val="1BE0E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BEE1EF3"/>
    <w:multiLevelType w:val="multilevel"/>
    <w:tmpl w:val="321CA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DDD64BF"/>
    <w:multiLevelType w:val="multilevel"/>
    <w:tmpl w:val="897E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92360364">
    <w:abstractNumId w:val="6"/>
  </w:num>
  <w:num w:numId="2" w16cid:durableId="1432159998">
    <w:abstractNumId w:val="2"/>
  </w:num>
  <w:num w:numId="3" w16cid:durableId="1407604702">
    <w:abstractNumId w:val="4"/>
  </w:num>
  <w:num w:numId="4" w16cid:durableId="1504009144">
    <w:abstractNumId w:val="1"/>
  </w:num>
  <w:num w:numId="5" w16cid:durableId="1247227168">
    <w:abstractNumId w:val="5"/>
  </w:num>
  <w:num w:numId="6" w16cid:durableId="1927104586">
    <w:abstractNumId w:val="3"/>
  </w:num>
  <w:num w:numId="7" w16cid:durableId="1797214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806"/>
    <w:rsid w:val="00066A3A"/>
    <w:rsid w:val="00183634"/>
    <w:rsid w:val="00277669"/>
    <w:rsid w:val="002F465A"/>
    <w:rsid w:val="00594806"/>
    <w:rsid w:val="005B6582"/>
    <w:rsid w:val="00717E25"/>
    <w:rsid w:val="00894B45"/>
    <w:rsid w:val="00B76CF1"/>
    <w:rsid w:val="00D014A5"/>
    <w:rsid w:val="00E1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AAA80"/>
  <w15:chartTrackingRefBased/>
  <w15:docId w15:val="{321A3B2C-7F7C-534C-94D2-43C701B8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4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4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48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4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48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4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4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4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4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4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4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4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480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480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4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4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4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4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4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4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4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4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4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480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4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480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4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480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4806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omylnaczcionkaakapitu"/>
    <w:rsid w:val="00594806"/>
  </w:style>
  <w:style w:type="character" w:styleId="Hipercze">
    <w:name w:val="Hyperlink"/>
    <w:basedOn w:val="Domylnaczcionkaakapitu"/>
    <w:uiPriority w:val="99"/>
    <w:semiHidden/>
    <w:unhideWhenUsed/>
    <w:rsid w:val="005948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 S.A</dc:creator>
  <cp:keywords/>
  <dc:description/>
  <cp:lastModifiedBy>Arche S.A</cp:lastModifiedBy>
  <cp:revision>2</cp:revision>
  <cp:lastPrinted>2025-12-04T08:19:00Z</cp:lastPrinted>
  <dcterms:created xsi:type="dcterms:W3CDTF">2025-12-04T08:19:00Z</dcterms:created>
  <dcterms:modified xsi:type="dcterms:W3CDTF">2025-12-04T08:19:00Z</dcterms:modified>
</cp:coreProperties>
</file>